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954A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B3DDA" w:rsidRDefault="004B3DDA" w:rsidP="004B3D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D23D0" w:rsidRPr="00641E76" w:rsidRDefault="00AD23D0" w:rsidP="00AD23D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954AFF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954AFF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954AFF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954AFF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954AFF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8A171C">
        <w:rPr>
          <w:rFonts w:ascii="Times New Roman" w:hAnsi="Times New Roman" w:cs="Times New Roman"/>
          <w:sz w:val="24"/>
          <w:szCs w:val="24"/>
        </w:rPr>
        <w:t xml:space="preserve">1.1. Арендодатель сдает, а Арендатор принимает нежилое офисное помещение № </w:t>
      </w:r>
      <w:r>
        <w:rPr>
          <w:rFonts w:ascii="Times New Roman" w:hAnsi="Times New Roman" w:cs="Times New Roman"/>
          <w:sz w:val="24"/>
          <w:szCs w:val="24"/>
        </w:rPr>
        <w:t>41</w:t>
      </w:r>
      <w:r w:rsidR="00D23823">
        <w:rPr>
          <w:rFonts w:ascii="Times New Roman" w:hAnsi="Times New Roman" w:cs="Times New Roman"/>
          <w:sz w:val="24"/>
          <w:szCs w:val="24"/>
        </w:rPr>
        <w:t>5</w:t>
      </w:r>
      <w:r w:rsidRPr="008A171C">
        <w:rPr>
          <w:rFonts w:ascii="Times New Roman" w:hAnsi="Times New Roman" w:cs="Times New Roman"/>
          <w:sz w:val="24"/>
          <w:szCs w:val="24"/>
        </w:rPr>
        <w:t xml:space="preserve"> (</w:t>
      </w:r>
      <w:r w:rsidR="00D23823">
        <w:rPr>
          <w:rFonts w:ascii="Times New Roman" w:hAnsi="Times New Roman" w:cs="Times New Roman"/>
          <w:sz w:val="24"/>
          <w:szCs w:val="24"/>
        </w:rPr>
        <w:t>6</w:t>
      </w:r>
      <w:r w:rsidRPr="008A171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1</w:t>
      </w:r>
      <w:r w:rsidR="00D23823">
        <w:rPr>
          <w:rFonts w:ascii="Times New Roman" w:hAnsi="Times New Roman" w:cs="Times New Roman"/>
          <w:sz w:val="24"/>
          <w:szCs w:val="24"/>
        </w:rPr>
        <w:t>7</w:t>
      </w:r>
      <w:r w:rsidRPr="008A171C">
        <w:rPr>
          <w:rFonts w:ascii="Times New Roman" w:hAnsi="Times New Roman" w:cs="Times New Roman"/>
          <w:sz w:val="24"/>
          <w:szCs w:val="24"/>
        </w:rPr>
        <w:t>,</w:t>
      </w:r>
      <w:r w:rsidR="00D23823">
        <w:rPr>
          <w:rFonts w:ascii="Times New Roman" w:hAnsi="Times New Roman" w:cs="Times New Roman"/>
          <w:sz w:val="24"/>
          <w:szCs w:val="24"/>
        </w:rPr>
        <w:t>9</w:t>
      </w:r>
      <w:r w:rsidRPr="008A171C">
        <w:rPr>
          <w:rFonts w:ascii="Times New Roman" w:hAnsi="Times New Roman" w:cs="Times New Roman"/>
          <w:sz w:val="24"/>
          <w:szCs w:val="24"/>
        </w:rPr>
        <w:t xml:space="preserve"> по техпаспорту), </w:t>
      </w:r>
      <w:r w:rsidRPr="00941A03">
        <w:rPr>
          <w:rFonts w:ascii="Times New Roman" w:hAnsi="Times New Roman" w:cs="Times New Roman"/>
          <w:sz w:val="24"/>
          <w:szCs w:val="24"/>
        </w:rPr>
        <w:t xml:space="preserve">находящееся на </w:t>
      </w:r>
      <w:r>
        <w:rPr>
          <w:rFonts w:ascii="Times New Roman" w:hAnsi="Times New Roman" w:cs="Times New Roman"/>
          <w:sz w:val="24"/>
          <w:szCs w:val="24"/>
        </w:rPr>
        <w:t>втором</w:t>
      </w:r>
      <w:r w:rsidRPr="00941A03">
        <w:rPr>
          <w:rFonts w:ascii="Times New Roman" w:hAnsi="Times New Roman" w:cs="Times New Roman"/>
          <w:sz w:val="24"/>
          <w:szCs w:val="24"/>
        </w:rPr>
        <w:t xml:space="preserve"> этаже административного здания,</w:t>
      </w:r>
      <w:r w:rsidRPr="00E57E0F">
        <w:rPr>
          <w:rFonts w:ascii="Times New Roman" w:hAnsi="Times New Roman" w:cs="Times New Roman"/>
          <w:sz w:val="24"/>
          <w:szCs w:val="24"/>
        </w:rPr>
        <w:t xml:space="preserve"> расположенного по адресу: 410012, г. Саратов, ул. Краевая, д. № 85 литера</w:t>
      </w:r>
      <w:proofErr w:type="gramStart"/>
      <w:r w:rsidRPr="00E57E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F321D8" w:rsidRPr="005A677A" w:rsidRDefault="00F321D8" w:rsidP="00F321D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</w:t>
      </w:r>
      <w:r w:rsidRPr="005A677A">
        <w:rPr>
          <w:rFonts w:ascii="Times New Roman" w:hAnsi="Times New Roman" w:cs="Times New Roman"/>
          <w:sz w:val="24"/>
          <w:szCs w:val="24"/>
        </w:rPr>
        <w:t>, передаваем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 в аренду, составляет  </w:t>
      </w:r>
      <w:r w:rsidR="00D23823">
        <w:rPr>
          <w:rFonts w:ascii="Times New Roman" w:hAnsi="Times New Roman" w:cs="Times New Roman"/>
          <w:sz w:val="24"/>
          <w:szCs w:val="24"/>
        </w:rPr>
        <w:t>17</w:t>
      </w:r>
      <w:r w:rsidR="00D23823" w:rsidRPr="008A171C">
        <w:rPr>
          <w:rFonts w:ascii="Times New Roman" w:hAnsi="Times New Roman" w:cs="Times New Roman"/>
          <w:sz w:val="24"/>
          <w:szCs w:val="24"/>
        </w:rPr>
        <w:t>,</w:t>
      </w:r>
      <w:r w:rsidR="00D23823">
        <w:rPr>
          <w:rFonts w:ascii="Times New Roman" w:hAnsi="Times New Roman" w:cs="Times New Roman"/>
          <w:sz w:val="24"/>
          <w:szCs w:val="24"/>
        </w:rPr>
        <w:t>9</w:t>
      </w:r>
      <w:r w:rsidRPr="005A677A">
        <w:rPr>
          <w:rFonts w:ascii="Times New Roman" w:hAnsi="Times New Roman" w:cs="Times New Roman"/>
          <w:sz w:val="24"/>
          <w:szCs w:val="24"/>
        </w:rPr>
        <w:t xml:space="preserve"> (</w:t>
      </w:r>
      <w:r w:rsidR="00D23823">
        <w:rPr>
          <w:rFonts w:ascii="Times New Roman" w:hAnsi="Times New Roman" w:cs="Times New Roman"/>
          <w:sz w:val="24"/>
          <w:szCs w:val="24"/>
        </w:rPr>
        <w:t>сем</w:t>
      </w:r>
      <w:r>
        <w:rPr>
          <w:rFonts w:ascii="Times New Roman" w:hAnsi="Times New Roman" w:cs="Times New Roman"/>
          <w:sz w:val="24"/>
          <w:szCs w:val="24"/>
        </w:rPr>
        <w:t xml:space="preserve">надцать </w:t>
      </w:r>
      <w:r w:rsidRPr="005A677A">
        <w:rPr>
          <w:rFonts w:ascii="Times New Roman" w:hAnsi="Times New Roman" w:cs="Times New Roman"/>
          <w:sz w:val="24"/>
          <w:szCs w:val="24"/>
        </w:rPr>
        <w:t xml:space="preserve">целых </w:t>
      </w:r>
      <w:r w:rsidR="00D23823">
        <w:rPr>
          <w:rFonts w:ascii="Times New Roman" w:hAnsi="Times New Roman" w:cs="Times New Roman"/>
          <w:sz w:val="24"/>
          <w:szCs w:val="24"/>
        </w:rPr>
        <w:t>девят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5A677A">
        <w:rPr>
          <w:rFonts w:ascii="Times New Roman" w:hAnsi="Times New Roman" w:cs="Times New Roman"/>
          <w:sz w:val="24"/>
          <w:szCs w:val="24"/>
        </w:rPr>
        <w:t>десят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5A677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A677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77A"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0C7300" w:rsidRPr="005C2907" w:rsidRDefault="000C7300" w:rsidP="000C7300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 w:rsidR="004B3DDA"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 w:rsidR="00B4736D">
        <w:rPr>
          <w:sz w:val="24"/>
          <w:szCs w:val="24"/>
        </w:rPr>
        <w:t xml:space="preserve">с </w:t>
      </w:r>
      <w:r w:rsidR="009D3806">
        <w:rPr>
          <w:sz w:val="24"/>
          <w:szCs w:val="24"/>
        </w:rPr>
        <w:t>_____________</w:t>
      </w:r>
      <w:r w:rsidR="00B4736D">
        <w:rPr>
          <w:sz w:val="24"/>
          <w:szCs w:val="24"/>
        </w:rPr>
        <w:t xml:space="preserve"> 202</w:t>
      </w:r>
      <w:r w:rsidR="00954AFF">
        <w:rPr>
          <w:sz w:val="24"/>
          <w:szCs w:val="24"/>
        </w:rPr>
        <w:t>4</w:t>
      </w:r>
      <w:r w:rsidR="00B4736D">
        <w:rPr>
          <w:sz w:val="24"/>
          <w:szCs w:val="24"/>
        </w:rPr>
        <w:t xml:space="preserve">г. по </w:t>
      </w:r>
      <w:r w:rsidR="009D3806">
        <w:rPr>
          <w:sz w:val="24"/>
          <w:szCs w:val="24"/>
        </w:rPr>
        <w:t>_________</w:t>
      </w:r>
      <w:r w:rsidR="00B4736D">
        <w:rPr>
          <w:sz w:val="24"/>
          <w:szCs w:val="24"/>
        </w:rPr>
        <w:t xml:space="preserve"> 202</w:t>
      </w:r>
      <w:r w:rsidR="00954AFF">
        <w:rPr>
          <w:sz w:val="24"/>
          <w:szCs w:val="24"/>
        </w:rPr>
        <w:t>5</w:t>
      </w:r>
      <w:r w:rsidR="00B4736D"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954AFF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Pr="005A677A">
        <w:rPr>
          <w:rFonts w:ascii="Times New Roman" w:hAnsi="Times New Roman" w:cs="Times New Roman"/>
          <w:sz w:val="24"/>
          <w:szCs w:val="24"/>
        </w:rPr>
        <w:t xml:space="preserve"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</w:t>
      </w:r>
      <w:r>
        <w:rPr>
          <w:rFonts w:ascii="Times New Roman" w:hAnsi="Times New Roman" w:cs="Times New Roman"/>
          <w:sz w:val="24"/>
          <w:szCs w:val="24"/>
        </w:rPr>
        <w:t>Арендодателя;</w:t>
      </w:r>
      <w:proofErr w:type="gramEnd"/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09A7" w:rsidRPr="005A677A" w:rsidRDefault="001309A7" w:rsidP="001309A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для осмотра  Помещения и производства работ, связанных с эксплуатацией Помещения, выполнять </w:t>
      </w:r>
      <w:r w:rsidRPr="005A677A">
        <w:rPr>
          <w:rFonts w:ascii="Times New Roman" w:hAnsi="Times New Roman" w:cs="Times New Roman"/>
          <w:sz w:val="24"/>
          <w:szCs w:val="24"/>
        </w:rPr>
        <w:lastRenderedPageBreak/>
        <w:t>предписания, локальные нормативно-правовые акты и указания Арендодателя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7.2. Настоящий договор составлен в трех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043CF5" w:rsidRDefault="00043CF5" w:rsidP="00043CF5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352195" w:rsidRDefault="00352195" w:rsidP="00E57E0F">
      <w:pPr>
        <w:pStyle w:val="a4"/>
        <w:jc w:val="left"/>
        <w:rPr>
          <w:sz w:val="24"/>
          <w:szCs w:val="24"/>
        </w:rPr>
      </w:pPr>
    </w:p>
    <w:p w:rsidR="00F4697B" w:rsidRPr="00E57E0F" w:rsidRDefault="00954AFF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</w:t>
      </w:r>
      <w:r w:rsidR="006A6671">
        <w:rPr>
          <w:sz w:val="24"/>
          <w:szCs w:val="24"/>
        </w:rPr>
        <w:t xml:space="preserve">                  </w:t>
      </w:r>
      <w:r w:rsidRPr="00F203D7">
        <w:rPr>
          <w:sz w:val="24"/>
          <w:szCs w:val="24"/>
        </w:rPr>
        <w:t xml:space="preserve">    </w:t>
      </w:r>
      <w:r w:rsidRPr="00E57E0F">
        <w:rPr>
          <w:sz w:val="24"/>
          <w:szCs w:val="24"/>
        </w:rPr>
        <w:t>_________________/</w:t>
      </w:r>
      <w:r w:rsidR="00A9036E">
        <w:rPr>
          <w:sz w:val="24"/>
          <w:szCs w:val="24"/>
        </w:rPr>
        <w:t>___________</w:t>
      </w:r>
      <w:r w:rsidR="00A9036E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6A6671">
        <w:rPr>
          <w:sz w:val="24"/>
          <w:szCs w:val="24"/>
        </w:rPr>
        <w:t xml:space="preserve">                          </w:t>
      </w:r>
      <w:r w:rsidRPr="00E57E0F">
        <w:rPr>
          <w:sz w:val="24"/>
          <w:szCs w:val="24"/>
        </w:rPr>
        <w:t>М.П.</w:t>
      </w:r>
    </w:p>
    <w:p w:rsidR="00E57E0F" w:rsidRDefault="00E57E0F" w:rsidP="00E57E0F">
      <w:pPr>
        <w:pStyle w:val="a4"/>
        <w:rPr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A47772" w:rsidRPr="004444BA" w:rsidRDefault="00A47772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5E62C0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A47772" w:rsidRPr="009D1FE8" w:rsidRDefault="00A47772" w:rsidP="00A47772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A47772" w:rsidRPr="009D1FE8" w:rsidRDefault="00A47772" w:rsidP="00A47772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5E62C0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DF6345" w:rsidRDefault="00DF6345" w:rsidP="00DF6345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DF634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DF6345" w:rsidRPr="00D012C5" w:rsidRDefault="00DF6345" w:rsidP="00DF6345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1C7D91" w:rsidRDefault="001C7D91" w:rsidP="001C7D91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5E62C0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5E62C0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5E62C0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5E62C0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5E62C0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725A18" w:rsidRPr="005A677A" w:rsidRDefault="00725A18" w:rsidP="00725A18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5A677A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rPr>
          <w:rFonts w:ascii="Times New Roman" w:hAnsi="Times New Roman"/>
          <w:spacing w:val="-16"/>
          <w:lang w:val="ru-RU"/>
        </w:rPr>
      </w:pPr>
      <w:r w:rsidRPr="00D179E6">
        <w:rPr>
          <w:rFonts w:ascii="Times New Roman" w:hAnsi="Times New Roman"/>
          <w:lang w:val="ru-RU"/>
        </w:rPr>
        <w:t>Вход гостей и посетителей А</w:t>
      </w:r>
      <w:r w:rsidRPr="00D179E6">
        <w:rPr>
          <w:rFonts w:ascii="Times New Roman" w:hAnsi="Times New Roman"/>
          <w:bCs/>
          <w:lang w:val="ru-RU"/>
        </w:rPr>
        <w:t xml:space="preserve">рендатора </w:t>
      </w:r>
      <w:r w:rsidRPr="00D179E6">
        <w:rPr>
          <w:rFonts w:ascii="Times New Roman" w:hAnsi="Times New Roman"/>
          <w:lang w:val="ru-RU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з</w:t>
      </w:r>
      <w:r w:rsidRPr="00D179E6">
        <w:rPr>
          <w:bCs/>
          <w:i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</w:t>
      </w:r>
      <w:r w:rsidRPr="005A677A">
        <w:rPr>
          <w:sz w:val="24"/>
          <w:szCs w:val="24"/>
        </w:rPr>
        <w:lastRenderedPageBreak/>
        <w:t>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AF45BD" w:rsidRDefault="00AF45BD" w:rsidP="00AF45BD">
      <w:pPr>
        <w:pStyle w:val="a4"/>
        <w:rPr>
          <w:sz w:val="24"/>
          <w:szCs w:val="24"/>
        </w:rPr>
      </w:pPr>
      <w:r w:rsidRPr="00D012C5">
        <w:rPr>
          <w:b/>
          <w:sz w:val="24"/>
          <w:szCs w:val="24"/>
        </w:rPr>
        <w:t>Арендодатель</w:t>
      </w:r>
      <w:r w:rsidRPr="00D012C5"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4E41C3" w:rsidRPr="00E57E0F" w:rsidRDefault="004E41C3" w:rsidP="004E41C3">
      <w:pPr>
        <w:pStyle w:val="a4"/>
        <w:rPr>
          <w:sz w:val="24"/>
          <w:szCs w:val="24"/>
        </w:rPr>
      </w:pPr>
    </w:p>
    <w:p w:rsidR="00E57E0F" w:rsidRPr="00E57E0F" w:rsidRDefault="00E57E0F" w:rsidP="00E57E0F">
      <w:pPr>
        <w:pStyle w:val="a4"/>
        <w:rPr>
          <w:sz w:val="24"/>
          <w:szCs w:val="24"/>
        </w:rPr>
      </w:pPr>
    </w:p>
    <w:p w:rsidR="00F4697B" w:rsidRPr="00E57E0F" w:rsidRDefault="005E62C0" w:rsidP="00F4697B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</w:r>
      <w:r w:rsidR="00F4697B">
        <w:rPr>
          <w:sz w:val="24"/>
          <w:szCs w:val="24"/>
        </w:rPr>
        <w:tab/>
        <w:t xml:space="preserve">            </w:t>
      </w:r>
      <w:r w:rsidR="00F4697B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</w:t>
      </w:r>
      <w:r w:rsidR="006A6671">
        <w:rPr>
          <w:sz w:val="24"/>
          <w:szCs w:val="24"/>
        </w:rPr>
        <w:t xml:space="preserve">  </w:t>
      </w:r>
      <w:r w:rsidRPr="00F203D7">
        <w:rPr>
          <w:sz w:val="24"/>
          <w:szCs w:val="24"/>
        </w:rPr>
        <w:t xml:space="preserve">   </w:t>
      </w:r>
      <w:r w:rsidRPr="00E57E0F">
        <w:rPr>
          <w:sz w:val="24"/>
          <w:szCs w:val="24"/>
        </w:rPr>
        <w:t>_________________/</w:t>
      </w:r>
      <w:r w:rsidR="002A4C2D">
        <w:rPr>
          <w:sz w:val="24"/>
          <w:szCs w:val="24"/>
        </w:rPr>
        <w:t>____________________</w:t>
      </w:r>
      <w:r w:rsidR="002A4C2D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5E62C0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C84B7A" w:rsidRDefault="00C84B7A" w:rsidP="00C84B7A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Согласно отчета оценщика ООО «Альфа-Оценка» от 22.01.2024 № 01/01-24 АЕ-1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</w:t>
      </w:r>
    </w:p>
    <w:p w:rsidR="00586C91" w:rsidRPr="001E1F77" w:rsidRDefault="00586C91" w:rsidP="00586C91">
      <w:pPr>
        <w:pStyle w:val="a4"/>
        <w:textAlignment w:val="auto"/>
        <w:rPr>
          <w:sz w:val="24"/>
          <w:szCs w:val="24"/>
        </w:rPr>
      </w:pPr>
      <w:bookmarkStart w:id="0" w:name="_GoBack"/>
      <w:bookmarkEnd w:id="0"/>
      <w:r w:rsidRPr="001E1F77">
        <w:rPr>
          <w:sz w:val="24"/>
          <w:szCs w:val="24"/>
        </w:rPr>
        <w:t xml:space="preserve">С учетом </w:t>
      </w:r>
      <w:proofErr w:type="gramStart"/>
      <w:r w:rsidRPr="001E1F77">
        <w:rPr>
          <w:sz w:val="24"/>
          <w:szCs w:val="24"/>
        </w:rPr>
        <w:t>положений приказа министра экономического развития Саратовской области</w:t>
      </w:r>
      <w:proofErr w:type="gramEnd"/>
      <w:r w:rsidRPr="001E1F77">
        <w:rPr>
          <w:sz w:val="24"/>
          <w:szCs w:val="24"/>
        </w:rPr>
        <w:t xml:space="preserve">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устанавливаются следующие льготные ставки арендной платы:</w:t>
      </w:r>
    </w:p>
    <w:p w:rsidR="00D23823" w:rsidRPr="00B54884" w:rsidRDefault="00D23823" w:rsidP="00D23823">
      <w:pPr>
        <w:pStyle w:val="a4"/>
        <w:widowControl/>
        <w:adjustRightInd/>
        <w:rPr>
          <w:sz w:val="24"/>
          <w:szCs w:val="24"/>
        </w:rPr>
      </w:pPr>
      <w:r w:rsidRPr="00B54884"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 w:rsidRPr="00B54884">
        <w:rPr>
          <w:sz w:val="24"/>
          <w:szCs w:val="24"/>
        </w:rPr>
        <w:t>кв.м</w:t>
      </w:r>
      <w:proofErr w:type="spellEnd"/>
      <w:r w:rsidRPr="00B54884">
        <w:rPr>
          <w:sz w:val="24"/>
          <w:szCs w:val="24"/>
        </w:rPr>
        <w:t xml:space="preserve">./мес. х 17,9 </w:t>
      </w:r>
      <w:proofErr w:type="spellStart"/>
      <w:r w:rsidRPr="00B54884">
        <w:rPr>
          <w:sz w:val="24"/>
          <w:szCs w:val="24"/>
        </w:rPr>
        <w:t>м.кв</w:t>
      </w:r>
      <w:proofErr w:type="spellEnd"/>
      <w:r w:rsidRPr="00B54884">
        <w:rPr>
          <w:sz w:val="24"/>
          <w:szCs w:val="24"/>
        </w:rPr>
        <w:t xml:space="preserve">. = 3408,16 руб./мес.;  </w:t>
      </w:r>
    </w:p>
    <w:p w:rsidR="00D23823" w:rsidRPr="00B54884" w:rsidRDefault="00D23823" w:rsidP="00D23823">
      <w:pPr>
        <w:pStyle w:val="a4"/>
        <w:widowControl/>
        <w:adjustRightInd/>
        <w:rPr>
          <w:sz w:val="24"/>
          <w:szCs w:val="24"/>
        </w:rPr>
      </w:pPr>
      <w:r w:rsidRPr="00B54884"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 w:rsidRPr="00B54884">
        <w:rPr>
          <w:sz w:val="24"/>
          <w:szCs w:val="24"/>
        </w:rPr>
        <w:t>кв.м</w:t>
      </w:r>
      <w:proofErr w:type="spellEnd"/>
      <w:r w:rsidRPr="00B54884">
        <w:rPr>
          <w:sz w:val="24"/>
          <w:szCs w:val="24"/>
        </w:rPr>
        <w:t xml:space="preserve">./мес. х 17,9 </w:t>
      </w:r>
      <w:proofErr w:type="spellStart"/>
      <w:r w:rsidRPr="00B54884">
        <w:rPr>
          <w:sz w:val="24"/>
          <w:szCs w:val="24"/>
        </w:rPr>
        <w:t>м.кв</w:t>
      </w:r>
      <w:proofErr w:type="spellEnd"/>
      <w:r w:rsidRPr="00B54884">
        <w:rPr>
          <w:sz w:val="24"/>
          <w:szCs w:val="24"/>
        </w:rPr>
        <w:t xml:space="preserve">. = 5112,24 руб./мес.;    </w:t>
      </w:r>
    </w:p>
    <w:p w:rsidR="00D23823" w:rsidRPr="00B54884" w:rsidRDefault="00D23823" w:rsidP="00D23823">
      <w:pPr>
        <w:pStyle w:val="a4"/>
        <w:widowControl/>
        <w:adjustRightInd/>
        <w:rPr>
          <w:sz w:val="24"/>
          <w:szCs w:val="24"/>
        </w:rPr>
      </w:pPr>
      <w:r w:rsidRPr="00B54884"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 w:rsidRPr="00B54884">
        <w:rPr>
          <w:sz w:val="24"/>
          <w:szCs w:val="24"/>
        </w:rPr>
        <w:t>кв.м</w:t>
      </w:r>
      <w:proofErr w:type="spellEnd"/>
      <w:r w:rsidRPr="00B54884">
        <w:rPr>
          <w:sz w:val="24"/>
          <w:szCs w:val="24"/>
        </w:rPr>
        <w:t xml:space="preserve">./мес. х 17,9 </w:t>
      </w:r>
      <w:proofErr w:type="spellStart"/>
      <w:r w:rsidRPr="00B54884">
        <w:rPr>
          <w:sz w:val="24"/>
          <w:szCs w:val="24"/>
        </w:rPr>
        <w:t>м.кв</w:t>
      </w:r>
      <w:proofErr w:type="spellEnd"/>
      <w:r w:rsidRPr="00B54884">
        <w:rPr>
          <w:sz w:val="24"/>
          <w:szCs w:val="24"/>
        </w:rPr>
        <w:t xml:space="preserve">. = 6816,32 руб./мес.; </w:t>
      </w:r>
    </w:p>
    <w:p w:rsidR="00D23823" w:rsidRPr="007D52D3" w:rsidRDefault="00D23823" w:rsidP="00D23823"/>
    <w:p w:rsidR="00840D28" w:rsidRPr="008F0191" w:rsidRDefault="00840D28" w:rsidP="00C827D1">
      <w:pPr>
        <w:pStyle w:val="a4"/>
        <w:ind w:left="709"/>
        <w:jc w:val="left"/>
        <w:rPr>
          <w:b/>
          <w:sz w:val="24"/>
          <w:szCs w:val="24"/>
        </w:rPr>
      </w:pPr>
    </w:p>
    <w:p w:rsidR="005E62C0" w:rsidRPr="00E422F4" w:rsidRDefault="005E62C0" w:rsidP="005E62C0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5E62C0" w:rsidRPr="00E57E0F" w:rsidRDefault="005E62C0" w:rsidP="005E62C0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5E62C0" w:rsidRPr="00E57E0F" w:rsidRDefault="005E62C0" w:rsidP="005E62C0">
      <w:pPr>
        <w:pStyle w:val="a4"/>
        <w:ind w:left="709" w:firstLine="709"/>
        <w:rPr>
          <w:sz w:val="24"/>
          <w:szCs w:val="24"/>
        </w:rPr>
      </w:pP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</w:r>
      <w:r w:rsidRPr="00E57E0F">
        <w:rPr>
          <w:sz w:val="24"/>
          <w:szCs w:val="24"/>
        </w:rPr>
        <w:tab/>
        <w:t>М.П.</w:t>
      </w:r>
    </w:p>
    <w:p w:rsidR="005E62C0" w:rsidRDefault="005E62C0" w:rsidP="005E62C0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D23823" w:rsidRDefault="00D23823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5E62C0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19302D" w:rsidRPr="007513B5" w:rsidRDefault="0019302D" w:rsidP="0019302D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8D1A7C">
        <w:t>Офисное помещение №  41</w:t>
      </w:r>
      <w:r w:rsidR="00D23823">
        <w:t>5</w:t>
      </w:r>
      <w:r w:rsidRPr="008D1A7C">
        <w:t xml:space="preserve"> общей площадью </w:t>
      </w:r>
      <w:r w:rsidR="007513B5" w:rsidRPr="007513B5">
        <w:t>1</w:t>
      </w:r>
      <w:r w:rsidR="00D23823">
        <w:t>7</w:t>
      </w:r>
      <w:r w:rsidR="007513B5" w:rsidRPr="007513B5">
        <w:t>,</w:t>
      </w:r>
      <w:r w:rsidR="00D23823">
        <w:t>9</w:t>
      </w:r>
      <w:r w:rsidRPr="008D1A7C">
        <w:t xml:space="preserve"> </w:t>
      </w:r>
      <w:proofErr w:type="spellStart"/>
      <w:r w:rsidRPr="008D1A7C">
        <w:t>кв.м</w:t>
      </w:r>
      <w:proofErr w:type="spellEnd"/>
      <w:r w:rsidRPr="008D1A7C">
        <w:t>. (</w:t>
      </w:r>
      <w:r w:rsidR="00D23823">
        <w:t>6</w:t>
      </w:r>
      <w:r w:rsidR="007513B5" w:rsidRPr="007513B5">
        <w:t>/</w:t>
      </w:r>
      <w:r w:rsidR="00D23823" w:rsidRPr="007513B5">
        <w:t>1</w:t>
      </w:r>
      <w:r w:rsidR="00D23823">
        <w:t>7</w:t>
      </w:r>
      <w:r w:rsidR="00D23823" w:rsidRPr="007513B5">
        <w:t>,</w:t>
      </w:r>
      <w:r w:rsidR="00D23823">
        <w:t>9</w:t>
      </w:r>
      <w:r w:rsidRPr="008D1A7C">
        <w:t xml:space="preserve"> по техпаспорту) на втором этаже здания по адресу: г. Саратов, ул. Краевая, 85 Литера</w:t>
      </w:r>
      <w:proofErr w:type="gramStart"/>
      <w:r w:rsidRPr="008D1A7C">
        <w:t xml:space="preserve"> А</w:t>
      </w:r>
      <w:proofErr w:type="gramEnd"/>
      <w:r w:rsidRPr="008D1A7C">
        <w:t xml:space="preserve">  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74738B" w:rsidP="00483F5D">
      <w:r w:rsidRPr="002D37A6">
        <w:rPr>
          <w:noProof/>
        </w:rPr>
        <w:drawing>
          <wp:inline distT="0" distB="0" distL="0" distR="0" wp14:anchorId="3BD8710C" wp14:editId="79759F1D">
            <wp:extent cx="5940425" cy="4939665"/>
            <wp:effectExtent l="0" t="0" r="3175" b="0"/>
            <wp:docPr id="11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2C0" w:rsidRPr="00563907" w:rsidRDefault="005E62C0" w:rsidP="005E62C0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E62C0" w:rsidRPr="00563907" w:rsidRDefault="005E62C0" w:rsidP="005E62C0">
      <w:pPr>
        <w:pStyle w:val="a4"/>
        <w:jc w:val="left"/>
      </w:pPr>
    </w:p>
    <w:p w:rsidR="005E62C0" w:rsidRPr="00217441" w:rsidRDefault="005E62C0" w:rsidP="005E62C0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5E62C0" w:rsidRPr="00811371" w:rsidRDefault="005E62C0" w:rsidP="005E62C0">
      <w:pPr>
        <w:pStyle w:val="a4"/>
        <w:ind w:left="709" w:firstLine="709"/>
      </w:pP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rPr>
          <w:i/>
        </w:rPr>
        <w:tab/>
      </w:r>
      <w:r w:rsidRPr="00811371">
        <w:t>М.П.</w:t>
      </w:r>
    </w:p>
    <w:p w:rsidR="005E62C0" w:rsidRPr="00563907" w:rsidRDefault="005E62C0" w:rsidP="005E62C0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E62C0" w:rsidRDefault="005E62C0" w:rsidP="005E62C0">
      <w:pPr>
        <w:pStyle w:val="a4"/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5A677A">
        <w:t xml:space="preserve"> М.П.</w:t>
      </w:r>
    </w:p>
    <w:p w:rsidR="00EF71F9" w:rsidRDefault="00EF71F9" w:rsidP="00483F5D">
      <w:pPr>
        <w:pStyle w:val="a4"/>
      </w:pPr>
    </w:p>
    <w:p w:rsidR="00EF71F9" w:rsidRDefault="00EF71F9" w:rsidP="00483F5D">
      <w:pPr>
        <w:pStyle w:val="a4"/>
      </w:pPr>
    </w:p>
    <w:sectPr w:rsidR="00EF71F9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AF1098C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8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18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3EC4"/>
    <w:rsid w:val="00065FE4"/>
    <w:rsid w:val="000700BA"/>
    <w:rsid w:val="00081A68"/>
    <w:rsid w:val="0009072B"/>
    <w:rsid w:val="000A23E3"/>
    <w:rsid w:val="000A6181"/>
    <w:rsid w:val="000C1594"/>
    <w:rsid w:val="000C2700"/>
    <w:rsid w:val="000C7300"/>
    <w:rsid w:val="000D7E7E"/>
    <w:rsid w:val="000F19CC"/>
    <w:rsid w:val="000F3CFD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09A7"/>
    <w:rsid w:val="00131D54"/>
    <w:rsid w:val="0015459C"/>
    <w:rsid w:val="00154C66"/>
    <w:rsid w:val="00156BBA"/>
    <w:rsid w:val="00157F39"/>
    <w:rsid w:val="00160B10"/>
    <w:rsid w:val="00163996"/>
    <w:rsid w:val="00164CC2"/>
    <w:rsid w:val="00165FF6"/>
    <w:rsid w:val="00172AE2"/>
    <w:rsid w:val="001749FA"/>
    <w:rsid w:val="001769CE"/>
    <w:rsid w:val="00181F85"/>
    <w:rsid w:val="001824C8"/>
    <w:rsid w:val="00184D26"/>
    <w:rsid w:val="00185D9A"/>
    <w:rsid w:val="0018631B"/>
    <w:rsid w:val="0019302D"/>
    <w:rsid w:val="00193CCC"/>
    <w:rsid w:val="00194FD4"/>
    <w:rsid w:val="001A3809"/>
    <w:rsid w:val="001A38AA"/>
    <w:rsid w:val="001A7A2B"/>
    <w:rsid w:val="001B2620"/>
    <w:rsid w:val="001C5663"/>
    <w:rsid w:val="001C7D91"/>
    <w:rsid w:val="001D560E"/>
    <w:rsid w:val="001D7068"/>
    <w:rsid w:val="001E4C58"/>
    <w:rsid w:val="001E54CC"/>
    <w:rsid w:val="001F0E1B"/>
    <w:rsid w:val="001F1ED1"/>
    <w:rsid w:val="001F278D"/>
    <w:rsid w:val="00200DCC"/>
    <w:rsid w:val="0020187C"/>
    <w:rsid w:val="00201AAD"/>
    <w:rsid w:val="00207270"/>
    <w:rsid w:val="00217441"/>
    <w:rsid w:val="00220AFF"/>
    <w:rsid w:val="00225210"/>
    <w:rsid w:val="0025272C"/>
    <w:rsid w:val="00257FBC"/>
    <w:rsid w:val="002617A5"/>
    <w:rsid w:val="00264D30"/>
    <w:rsid w:val="002728AB"/>
    <w:rsid w:val="00276FEB"/>
    <w:rsid w:val="002A4C2D"/>
    <w:rsid w:val="002B668C"/>
    <w:rsid w:val="002C30E2"/>
    <w:rsid w:val="002C3D1E"/>
    <w:rsid w:val="002D1BDA"/>
    <w:rsid w:val="002D5BCD"/>
    <w:rsid w:val="002D6E2F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64836"/>
    <w:rsid w:val="0036749E"/>
    <w:rsid w:val="00381350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E6ACD"/>
    <w:rsid w:val="003F2A4F"/>
    <w:rsid w:val="004026CB"/>
    <w:rsid w:val="0041445E"/>
    <w:rsid w:val="00417892"/>
    <w:rsid w:val="004207D2"/>
    <w:rsid w:val="00425530"/>
    <w:rsid w:val="00427345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98A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41DB"/>
    <w:rsid w:val="004F6BDF"/>
    <w:rsid w:val="00503C2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86C91"/>
    <w:rsid w:val="00595EC4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E62C0"/>
    <w:rsid w:val="005F5E0C"/>
    <w:rsid w:val="0060174D"/>
    <w:rsid w:val="00606174"/>
    <w:rsid w:val="0062625A"/>
    <w:rsid w:val="0063105C"/>
    <w:rsid w:val="00633881"/>
    <w:rsid w:val="006415B9"/>
    <w:rsid w:val="00641E76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A6671"/>
    <w:rsid w:val="006C4299"/>
    <w:rsid w:val="006C6523"/>
    <w:rsid w:val="006D029E"/>
    <w:rsid w:val="006D24A8"/>
    <w:rsid w:val="006D3523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4738B"/>
    <w:rsid w:val="007513B5"/>
    <w:rsid w:val="00766256"/>
    <w:rsid w:val="00767BA1"/>
    <w:rsid w:val="00780590"/>
    <w:rsid w:val="007838E2"/>
    <w:rsid w:val="00791DA5"/>
    <w:rsid w:val="00794383"/>
    <w:rsid w:val="00797089"/>
    <w:rsid w:val="007A0D5D"/>
    <w:rsid w:val="007B1152"/>
    <w:rsid w:val="007C26CB"/>
    <w:rsid w:val="007D12FB"/>
    <w:rsid w:val="007D43DF"/>
    <w:rsid w:val="007D730F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40D28"/>
    <w:rsid w:val="00856271"/>
    <w:rsid w:val="0086209B"/>
    <w:rsid w:val="00881702"/>
    <w:rsid w:val="008A171C"/>
    <w:rsid w:val="008B476C"/>
    <w:rsid w:val="008B6EF0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4AFF"/>
    <w:rsid w:val="00956599"/>
    <w:rsid w:val="009657D9"/>
    <w:rsid w:val="00990278"/>
    <w:rsid w:val="00992D00"/>
    <w:rsid w:val="00996F49"/>
    <w:rsid w:val="009A4BFC"/>
    <w:rsid w:val="009C6A7C"/>
    <w:rsid w:val="009D3806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9036E"/>
    <w:rsid w:val="00A92EAE"/>
    <w:rsid w:val="00A94565"/>
    <w:rsid w:val="00AA3421"/>
    <w:rsid w:val="00AA61D7"/>
    <w:rsid w:val="00AB26CE"/>
    <w:rsid w:val="00AB51B9"/>
    <w:rsid w:val="00AB5D07"/>
    <w:rsid w:val="00AB7DAA"/>
    <w:rsid w:val="00AC29AA"/>
    <w:rsid w:val="00AD23D0"/>
    <w:rsid w:val="00AD59F2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4010B"/>
    <w:rsid w:val="00C50247"/>
    <w:rsid w:val="00C50C27"/>
    <w:rsid w:val="00C54A2C"/>
    <w:rsid w:val="00C612D2"/>
    <w:rsid w:val="00C61359"/>
    <w:rsid w:val="00C65407"/>
    <w:rsid w:val="00C658D1"/>
    <w:rsid w:val="00C70339"/>
    <w:rsid w:val="00C80F9E"/>
    <w:rsid w:val="00C827D1"/>
    <w:rsid w:val="00C84B7A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23823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7792"/>
    <w:rsid w:val="00D90E0D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41534"/>
    <w:rsid w:val="00E46A10"/>
    <w:rsid w:val="00E57050"/>
    <w:rsid w:val="00E5789D"/>
    <w:rsid w:val="00E57E0F"/>
    <w:rsid w:val="00E62526"/>
    <w:rsid w:val="00E650BE"/>
    <w:rsid w:val="00E66B41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21D8"/>
    <w:rsid w:val="00F343A3"/>
    <w:rsid w:val="00F35931"/>
    <w:rsid w:val="00F4664D"/>
    <w:rsid w:val="00F4697B"/>
    <w:rsid w:val="00F4719B"/>
    <w:rsid w:val="00F54F4B"/>
    <w:rsid w:val="00F661D2"/>
    <w:rsid w:val="00F717E3"/>
    <w:rsid w:val="00F75258"/>
    <w:rsid w:val="00F810DD"/>
    <w:rsid w:val="00F82AA0"/>
    <w:rsid w:val="00F91474"/>
    <w:rsid w:val="00F92DC0"/>
    <w:rsid w:val="00FA3D59"/>
    <w:rsid w:val="00FA4DF9"/>
    <w:rsid w:val="00FB08BB"/>
    <w:rsid w:val="00FC33CC"/>
    <w:rsid w:val="00FC6872"/>
    <w:rsid w:val="00FE0743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7A349-F953-4131-81B9-6A4272FD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7853</Words>
  <Characters>44764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27</cp:revision>
  <cp:lastPrinted>2020-11-13T06:22:00Z</cp:lastPrinted>
  <dcterms:created xsi:type="dcterms:W3CDTF">2022-05-31T11:21:00Z</dcterms:created>
  <dcterms:modified xsi:type="dcterms:W3CDTF">2024-01-22T10:02:00Z</dcterms:modified>
</cp:coreProperties>
</file>