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>услуг по</w:t>
      </w:r>
      <w:r w:rsidR="00303123">
        <w:rPr>
          <w:color w:val="000000"/>
          <w:lang w:val="ru-RU"/>
        </w:rPr>
        <w:t xml:space="preserve"> содействию и размещению субъекта МСП на электронных площадках, с участием не менее трех СМСП Саратовской области</w:t>
      </w:r>
      <w:r w:rsidR="00010A49" w:rsidRPr="00010A49">
        <w:rPr>
          <w:color w:val="000000"/>
          <w:lang w:val="ru-RU"/>
        </w:rPr>
        <w:t xml:space="preserve">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303123">
        <w:rPr>
          <w:lang w:val="ru-RU"/>
        </w:rPr>
        <w:t>27 ноября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303123">
        <w:rPr>
          <w:lang w:val="ru-RU"/>
        </w:rPr>
        <w:t>27 ноября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303123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303123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303123">
        <w:rPr>
          <w:rFonts w:cs="Times New Roman"/>
          <w:lang w:val="ru-RU"/>
        </w:rPr>
        <w:t>mail</w:t>
      </w:r>
      <w:proofErr w:type="spellEnd"/>
      <w:r w:rsidRPr="00303123">
        <w:rPr>
          <w:rFonts w:cs="Times New Roman"/>
          <w:lang w:val="ru-RU"/>
        </w:rPr>
        <w:t>: cpp.saratov@mail.ru.</w:t>
      </w:r>
    </w:p>
    <w:p w:rsidR="00477696" w:rsidRPr="00303123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303123" w:rsidRDefault="00477696" w:rsidP="00E0741C">
      <w:pPr>
        <w:pStyle w:val="af2"/>
        <w:jc w:val="both"/>
        <w:rPr>
          <w:rFonts w:cs="Times New Roman"/>
          <w:lang w:val="ru-RU"/>
        </w:rPr>
      </w:pPr>
    </w:p>
    <w:p w:rsidR="00481D8B" w:rsidRPr="00303123" w:rsidRDefault="00481D8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123" w:rsidRPr="00303123" w:rsidRDefault="00303123" w:rsidP="0030312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Pr="00303123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152"/>
      </w:tblGrid>
      <w:tr w:rsidR="00303123" w:rsidRPr="00303123" w:rsidTr="00B30FF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123" w:rsidRPr="00303123" w:rsidRDefault="00303123" w:rsidP="00B3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123" w:rsidRPr="00303123" w:rsidRDefault="00303123" w:rsidP="00B3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123" w:rsidRPr="00303123" w:rsidRDefault="00303123" w:rsidP="00B3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03123" w:rsidRPr="00303123" w:rsidTr="00B30FF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123" w:rsidRPr="00303123" w:rsidRDefault="00303123" w:rsidP="00B3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содействию и размещению субъекта </w:t>
            </w:r>
            <w:r w:rsidRPr="003031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малого и среднего предпринимательства на электронных торговых площадках, </w:t>
            </w:r>
            <w:r w:rsidRPr="00303123">
              <w:rPr>
                <w:rFonts w:ascii="Times New Roman" w:hAnsi="Times New Roman" w:cs="Times New Roman"/>
                <w:sz w:val="24"/>
                <w:szCs w:val="24"/>
              </w:rPr>
              <w:t>не менее 3 субъектов малого и среднего предпринимательства Саратовской области.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123" w:rsidRPr="00303123" w:rsidRDefault="00303123" w:rsidP="00B3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123" w:rsidRPr="00303123" w:rsidRDefault="00303123" w:rsidP="00B3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03123" w:rsidRPr="00303123" w:rsidRDefault="00303123" w:rsidP="00303123">
      <w:pPr>
        <w:rPr>
          <w:rFonts w:ascii="Times New Roman" w:hAnsi="Times New Roman" w:cs="Times New Roman"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1. Наименование и объем услуг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 xml:space="preserve">1.1 Оказание на безвозмездной основе услуг по содействию и размещению субъекта </w:t>
      </w:r>
      <w:r w:rsidRPr="00303123">
        <w:rPr>
          <w:rFonts w:ascii="Times New Roman" w:hAnsi="Times New Roman" w:cs="Times New Roman"/>
          <w:color w:val="00000A"/>
          <w:sz w:val="24"/>
          <w:szCs w:val="24"/>
        </w:rPr>
        <w:t xml:space="preserve">малого и среднего предпринимательства на электронных торговых площадках. 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3123">
        <w:rPr>
          <w:rFonts w:ascii="Times New Roman" w:hAnsi="Times New Roman" w:cs="Times New Roman"/>
          <w:color w:val="00000A"/>
          <w:sz w:val="24"/>
          <w:szCs w:val="24"/>
        </w:rPr>
        <w:t>1.2 Услуга предоставляется в отношении не менее 3-х уникальных субъектов МСП.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3123">
        <w:rPr>
          <w:rFonts w:ascii="Times New Roman" w:hAnsi="Times New Roman" w:cs="Times New Roman"/>
          <w:color w:val="00000A"/>
          <w:sz w:val="24"/>
          <w:szCs w:val="24"/>
        </w:rPr>
        <w:t>1.3. Для 1-го субъекта МСП обязательно размещение не менее 1 раза, но не более 3-х раз на электронной торговой площадки.</w:t>
      </w:r>
    </w:p>
    <w:p w:rsidR="00303123" w:rsidRPr="00303123" w:rsidRDefault="00303123" w:rsidP="00303123">
      <w:pPr>
        <w:pStyle w:val="western"/>
        <w:spacing w:after="0" w:line="276" w:lineRule="auto"/>
        <w:ind w:firstLine="567"/>
        <w:jc w:val="both"/>
        <w:rPr>
          <w:b/>
        </w:rPr>
      </w:pPr>
      <w:r w:rsidRPr="00303123">
        <w:rPr>
          <w:color w:val="00000A"/>
          <w:lang w:eastAsia="zh-CN"/>
        </w:rPr>
        <w:tab/>
      </w:r>
      <w:r w:rsidRPr="00303123">
        <w:rPr>
          <w:b/>
        </w:rPr>
        <w:t>Требования к субъектам МСП:</w:t>
      </w:r>
    </w:p>
    <w:p w:rsidR="00303123" w:rsidRPr="00303123" w:rsidRDefault="00303123" w:rsidP="00303123">
      <w:pPr>
        <w:tabs>
          <w:tab w:val="left" w:pos="708"/>
        </w:tabs>
        <w:suppressAutoHyphens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303123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303123" w:rsidRPr="00303123" w:rsidRDefault="00303123" w:rsidP="00303123">
      <w:pPr>
        <w:tabs>
          <w:tab w:val="left" w:pos="708"/>
        </w:tabs>
        <w:suppressAutoHyphens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303123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б) зарегистрированные в соответствии с законодательством на территории Саратовской области.</w:t>
      </w:r>
    </w:p>
    <w:p w:rsidR="00303123" w:rsidRPr="00303123" w:rsidRDefault="00303123" w:rsidP="00303123">
      <w:pPr>
        <w:tabs>
          <w:tab w:val="left" w:pos="708"/>
        </w:tabs>
        <w:suppressAutoHyphens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03123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в) зарегистрированные в Едином реестре субъектов малого и среднего предпринимательства </w:t>
      </w:r>
      <w:r w:rsidRPr="0030312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(</w:t>
      </w:r>
      <w:hyperlink r:id="rId8" w:history="1">
        <w:r w:rsidRPr="00303123">
          <w:rPr>
            <w:rStyle w:val="af7"/>
            <w:rFonts w:ascii="Times New Roman" w:eastAsia="Calibri" w:hAnsi="Times New Roman" w:cs="Times New Roman"/>
            <w:sz w:val="24"/>
            <w:szCs w:val="24"/>
            <w:lang w:eastAsia="zh-CN"/>
          </w:rPr>
          <w:t>https://rmsp.nalog.ru/</w:t>
        </w:r>
      </w:hyperlink>
      <w:r w:rsidRPr="0030312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</w:t>
      </w:r>
    </w:p>
    <w:p w:rsidR="00303123" w:rsidRPr="00303123" w:rsidRDefault="00303123" w:rsidP="00303123">
      <w:pPr>
        <w:tabs>
          <w:tab w:val="left" w:pos="708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0312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        </w:t>
      </w:r>
    </w:p>
    <w:p w:rsidR="00303123" w:rsidRPr="00303123" w:rsidRDefault="00303123" w:rsidP="00303123">
      <w:pPr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303123">
        <w:rPr>
          <w:rFonts w:ascii="Times New Roman" w:hAnsi="Times New Roman" w:cs="Times New Roman"/>
          <w:b/>
          <w:sz w:val="24"/>
          <w:szCs w:val="24"/>
        </w:rPr>
        <w:t xml:space="preserve">Основание оказание услуги: </w:t>
      </w:r>
      <w:r w:rsidRPr="00303123">
        <w:rPr>
          <w:rFonts w:ascii="Times New Roman" w:hAnsi="Times New Roman" w:cs="Times New Roman"/>
          <w:sz w:val="24"/>
          <w:szCs w:val="24"/>
        </w:rPr>
        <w:t>заявка субъекта МСП (форма 1)</w:t>
      </w:r>
    </w:p>
    <w:p w:rsidR="00303123" w:rsidRPr="00303123" w:rsidRDefault="00303123" w:rsidP="003031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b/>
          <w:sz w:val="24"/>
          <w:szCs w:val="24"/>
        </w:rPr>
        <w:lastRenderedPageBreak/>
        <w:t>Место оказания услуг:</w:t>
      </w:r>
      <w:r w:rsidRPr="00303123">
        <w:rPr>
          <w:rFonts w:ascii="Times New Roman" w:hAnsi="Times New Roman" w:cs="Times New Roman"/>
          <w:sz w:val="24"/>
          <w:szCs w:val="24"/>
        </w:rPr>
        <w:t xml:space="preserve"> дистанционно через электронно-торговую площадку.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Требование к исполнителю услуги: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 иметь </w:t>
      </w:r>
      <w:r w:rsidRPr="00303123">
        <w:rPr>
          <w:rFonts w:ascii="Times New Roman" w:hAnsi="Times New Roman" w:cs="Times New Roman"/>
          <w:sz w:val="24"/>
          <w:szCs w:val="24"/>
        </w:rPr>
        <w:t>настроенное рабочее место пользователя: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>- для работы с Единой информационной системы в сфере закупок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 xml:space="preserve">- для работы с ЭЦП через </w:t>
      </w:r>
      <w:proofErr w:type="spellStart"/>
      <w:r w:rsidRPr="00303123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303123">
        <w:rPr>
          <w:rFonts w:ascii="Times New Roman" w:hAnsi="Times New Roman" w:cs="Times New Roman"/>
          <w:sz w:val="24"/>
          <w:szCs w:val="24"/>
        </w:rPr>
        <w:t xml:space="preserve"> CSP или </w:t>
      </w:r>
      <w:proofErr w:type="spellStart"/>
      <w:r w:rsidRPr="00303123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303123">
        <w:rPr>
          <w:rFonts w:ascii="Times New Roman" w:hAnsi="Times New Roman" w:cs="Times New Roman"/>
          <w:sz w:val="24"/>
          <w:szCs w:val="24"/>
        </w:rPr>
        <w:t xml:space="preserve"> CSP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 xml:space="preserve">-  для работы через </w:t>
      </w:r>
      <w:proofErr w:type="spellStart"/>
      <w:r w:rsidRPr="00303123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30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123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30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123">
        <w:rPr>
          <w:rFonts w:ascii="Times New Roman" w:hAnsi="Times New Roman" w:cs="Times New Roman"/>
          <w:sz w:val="24"/>
          <w:szCs w:val="24"/>
        </w:rPr>
        <w:t>JaCarta</w:t>
      </w:r>
      <w:proofErr w:type="spellEnd"/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 xml:space="preserve">- для работы на Электронных торговых площадках. 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Виды оказываемых услуг: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1. Сопровождение по регистрации в ЕГРУЗ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консультирование по регистрации в ЕГРУЗ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регистрация в ЕГРУЗ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2. Сопровождение по получению ЭЦП (при отсутствии у получателя услуги ЭЦП)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консультирование по получению ЭЦП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консультирование по выбору удостоверяющего центра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консультирование по полномочиям расширения ЭЦП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3. Открытие специального счета (при отсутствии у получателя услуги специального счета в банковской организации)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 xml:space="preserve">- консультирование по открытию специального счета </w:t>
      </w:r>
      <w:proofErr w:type="gramStart"/>
      <w:r w:rsidRPr="00303123">
        <w:rPr>
          <w:rFonts w:ascii="Times New Roman" w:hAnsi="Times New Roman" w:cs="Times New Roman"/>
          <w:bCs/>
          <w:sz w:val="24"/>
          <w:szCs w:val="24"/>
        </w:rPr>
        <w:t>в банковских организаций</w:t>
      </w:r>
      <w:proofErr w:type="gramEnd"/>
      <w:r w:rsidRPr="00303123">
        <w:rPr>
          <w:rFonts w:ascii="Times New Roman" w:hAnsi="Times New Roman" w:cs="Times New Roman"/>
          <w:bCs/>
          <w:sz w:val="24"/>
          <w:szCs w:val="24"/>
        </w:rPr>
        <w:t xml:space="preserve"> для участников закупок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консультирование по выбору банковской организации для открытия специального счета.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4. Подбор закупочной процедуры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определение стратегии по подбору закупочных процедур для получателя услуги.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отслеживание закупочных процедур в соответствии с разработанной стратегии.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 xml:space="preserve">- отправка информации по подобранным закупочным процедурам в соответствии с выбранной стратегии на электронную почту получателя услуг (информация предоставляется по </w:t>
      </w:r>
      <w:r w:rsidRPr="00303123">
        <w:rPr>
          <w:rFonts w:ascii="Times New Roman" w:hAnsi="Times New Roman" w:cs="Times New Roman"/>
          <w:bCs/>
          <w:sz w:val="24"/>
          <w:szCs w:val="24"/>
        </w:rPr>
        <w:lastRenderedPageBreak/>
        <w:t>форме 2)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5. Сопровождение в аукционах.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изучение требования к участникам, установленным в закупочной документации по выбранной процедуре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 xml:space="preserve">- консультирование по вопросам </w:t>
      </w:r>
      <w:proofErr w:type="gramStart"/>
      <w:r w:rsidRPr="00303123">
        <w:rPr>
          <w:rFonts w:ascii="Times New Roman" w:hAnsi="Times New Roman" w:cs="Times New Roman"/>
          <w:bCs/>
          <w:sz w:val="24"/>
          <w:szCs w:val="24"/>
        </w:rPr>
        <w:t>условий</w:t>
      </w:r>
      <w:proofErr w:type="gramEnd"/>
      <w:r w:rsidRPr="00303123">
        <w:rPr>
          <w:rFonts w:ascii="Times New Roman" w:hAnsi="Times New Roman" w:cs="Times New Roman"/>
          <w:bCs/>
          <w:sz w:val="24"/>
          <w:szCs w:val="24"/>
        </w:rPr>
        <w:t xml:space="preserve"> содержащих в проекте договора и техническом задании по выбранной закупочной процедуре.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полная подготовка документов для подачи заявки на конкретную закупочную процедуру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подача заявки на электронную торговую площадку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участие в торговых процедурах на электронных торговых площадках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>6. Сопровождение заключения контракта, в случае победы по итогам участия в закупочных процедурах.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консультирование по внесению обеспечения контракта в денежной форме или по возможности получения банковской гарантии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 xml:space="preserve">- проверка размещенного проекта </w:t>
      </w:r>
      <w:proofErr w:type="gramStart"/>
      <w:r w:rsidRPr="00303123">
        <w:rPr>
          <w:rFonts w:ascii="Times New Roman" w:hAnsi="Times New Roman" w:cs="Times New Roman"/>
          <w:bCs/>
          <w:sz w:val="24"/>
          <w:szCs w:val="24"/>
        </w:rPr>
        <w:t>контракта  на</w:t>
      </w:r>
      <w:proofErr w:type="gramEnd"/>
      <w:r w:rsidRPr="00303123"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на правильность заполнения информации о получателе услуги. </w:t>
      </w:r>
    </w:p>
    <w:p w:rsidR="00303123" w:rsidRPr="00303123" w:rsidRDefault="00303123" w:rsidP="00442AA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подписание контракта на электронной торговой площадки от лица получателя услуги.</w:t>
      </w:r>
    </w:p>
    <w:p w:rsidR="00303123" w:rsidRPr="00303123" w:rsidRDefault="00303123" w:rsidP="00442AA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23">
        <w:rPr>
          <w:rFonts w:ascii="Times New Roman" w:hAnsi="Times New Roman" w:cs="Times New Roman"/>
          <w:b/>
          <w:sz w:val="24"/>
          <w:szCs w:val="24"/>
        </w:rPr>
        <w:t>Отчетность исполнителя:</w:t>
      </w:r>
    </w:p>
    <w:p w:rsidR="00303123" w:rsidRPr="00303123" w:rsidRDefault="00303123" w:rsidP="00303123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303123">
        <w:rPr>
          <w:rFonts w:ascii="Times New Roman" w:hAnsi="Times New Roman" w:cs="Times New Roman"/>
          <w:sz w:val="24"/>
          <w:szCs w:val="24"/>
          <w:lang w:eastAsia="ar-SA"/>
        </w:rPr>
        <w:t xml:space="preserve">По окончанию </w:t>
      </w:r>
      <w:r w:rsidRPr="00303123">
        <w:rPr>
          <w:rFonts w:ascii="Times New Roman" w:hAnsi="Times New Roman" w:cs="Times New Roman"/>
          <w:sz w:val="24"/>
          <w:szCs w:val="24"/>
        </w:rPr>
        <w:t>исполнения обязательств по договору</w:t>
      </w:r>
      <w:r w:rsidRPr="00303123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Исполнитель обязан предоставить в течение 5 рабочих дней</w:t>
      </w:r>
      <w:r w:rsidRPr="0030312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бумажном носителе</w:t>
      </w:r>
      <w:r w:rsidRPr="0030312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03123" w:rsidRPr="00303123" w:rsidRDefault="00303123" w:rsidP="00303123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303123">
        <w:rPr>
          <w:rFonts w:ascii="Times New Roman" w:hAnsi="Times New Roman" w:cs="Times New Roman"/>
          <w:sz w:val="24"/>
          <w:szCs w:val="24"/>
          <w:lang w:eastAsia="ar-SA"/>
        </w:rPr>
        <w:t xml:space="preserve">- Не менее 3 </w:t>
      </w:r>
      <w:r w:rsidRPr="00303123">
        <w:rPr>
          <w:rFonts w:ascii="Times New Roman" w:hAnsi="Times New Roman" w:cs="Times New Roman"/>
          <w:sz w:val="24"/>
          <w:szCs w:val="24"/>
        </w:rPr>
        <w:t xml:space="preserve">заявок СМСП на получение </w:t>
      </w:r>
      <w:proofErr w:type="gramStart"/>
      <w:r w:rsidRPr="00303123">
        <w:rPr>
          <w:rFonts w:ascii="Times New Roman" w:hAnsi="Times New Roman" w:cs="Times New Roman"/>
          <w:sz w:val="24"/>
          <w:szCs w:val="24"/>
        </w:rPr>
        <w:t>услуги  по</w:t>
      </w:r>
      <w:proofErr w:type="gramEnd"/>
      <w:r w:rsidRPr="00303123">
        <w:rPr>
          <w:rFonts w:ascii="Times New Roman" w:hAnsi="Times New Roman" w:cs="Times New Roman"/>
          <w:sz w:val="24"/>
          <w:szCs w:val="24"/>
        </w:rPr>
        <w:t xml:space="preserve"> содействию и размещению субъекта </w:t>
      </w:r>
      <w:r w:rsidRPr="00303123">
        <w:rPr>
          <w:rFonts w:ascii="Times New Roman" w:hAnsi="Times New Roman" w:cs="Times New Roman"/>
          <w:color w:val="00000A"/>
          <w:sz w:val="24"/>
          <w:szCs w:val="24"/>
        </w:rPr>
        <w:t>малого и среднего предпринимательства на электронных торговых площадках</w:t>
      </w: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123">
        <w:rPr>
          <w:rFonts w:ascii="Times New Roman" w:hAnsi="Times New Roman" w:cs="Times New Roman"/>
          <w:sz w:val="24"/>
          <w:szCs w:val="24"/>
          <w:lang w:eastAsia="ar-SA"/>
        </w:rPr>
        <w:t>(по форме согласно Приложению № 1);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сведения из реестра субъектов малого и среднего предпринимательства;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В зависимости от вида оказываемых услуг: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03123">
        <w:rPr>
          <w:rFonts w:ascii="Times New Roman" w:hAnsi="Times New Roman" w:cs="Times New Roman"/>
          <w:bCs/>
          <w:sz w:val="24"/>
          <w:szCs w:val="24"/>
        </w:rPr>
        <w:t>Принт-скрин</w:t>
      </w:r>
      <w:proofErr w:type="spellEnd"/>
      <w:r w:rsidRPr="00303123">
        <w:rPr>
          <w:rFonts w:ascii="Times New Roman" w:hAnsi="Times New Roman" w:cs="Times New Roman"/>
          <w:bCs/>
          <w:sz w:val="24"/>
          <w:szCs w:val="24"/>
        </w:rPr>
        <w:t xml:space="preserve"> с экрана личного кабинета получателя услуги </w:t>
      </w:r>
      <w:proofErr w:type="gramStart"/>
      <w:r w:rsidRPr="00303123">
        <w:rPr>
          <w:rFonts w:ascii="Times New Roman" w:hAnsi="Times New Roman" w:cs="Times New Roman"/>
          <w:bCs/>
          <w:sz w:val="24"/>
          <w:szCs w:val="24"/>
        </w:rPr>
        <w:t>при подачи</w:t>
      </w:r>
      <w:proofErr w:type="gramEnd"/>
      <w:r w:rsidRPr="00303123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выбранной закупочной процедуре;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Протоколы, выгруженные с электронной торговой площадки;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>- Контракт, заключенный по итогам участия получателя услуги в выбранной закупочной процедуре (если получатель услуги был признан победителем по итогам участия в закупочной процедуре);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31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03123">
        <w:rPr>
          <w:rFonts w:ascii="Times New Roman" w:hAnsi="Times New Roman" w:cs="Times New Roman"/>
          <w:sz w:val="24"/>
          <w:szCs w:val="24"/>
        </w:rPr>
        <w:t xml:space="preserve">Реестр учета заявок субъектов малого и среднего предпринимательства для получения услуги по содействию и размещению субъекта </w:t>
      </w:r>
      <w:r w:rsidRPr="00303123">
        <w:rPr>
          <w:rFonts w:ascii="Times New Roman" w:hAnsi="Times New Roman" w:cs="Times New Roman"/>
          <w:color w:val="00000A"/>
          <w:sz w:val="24"/>
          <w:szCs w:val="24"/>
        </w:rPr>
        <w:t>малого и среднего предпринимательства на электронных торговых площадках (форма 2);</w:t>
      </w:r>
    </w:p>
    <w:p w:rsidR="00442AAF" w:rsidRPr="00303123" w:rsidRDefault="00442AAF" w:rsidP="00442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03123" w:rsidRPr="00303123" w:rsidRDefault="00303123" w:rsidP="003031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303123" w:rsidRPr="00303123" w:rsidRDefault="00303123" w:rsidP="003031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23" w:rsidRPr="00303123" w:rsidRDefault="00303123" w:rsidP="00303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Заявка субъекта МСП на получение </w:t>
      </w:r>
      <w:proofErr w:type="gramStart"/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услуги  </w:t>
      </w:r>
      <w:r w:rsidRPr="0030312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03123">
        <w:rPr>
          <w:rFonts w:ascii="Times New Roman" w:hAnsi="Times New Roman" w:cs="Times New Roman"/>
          <w:b/>
          <w:sz w:val="24"/>
          <w:szCs w:val="24"/>
        </w:rPr>
        <w:t xml:space="preserve"> содействию и размещению субъекта </w:t>
      </w:r>
      <w:r w:rsidRPr="00303123">
        <w:rPr>
          <w:rFonts w:ascii="Times New Roman" w:hAnsi="Times New Roman" w:cs="Times New Roman"/>
          <w:b/>
          <w:color w:val="00000A"/>
          <w:sz w:val="24"/>
          <w:szCs w:val="24"/>
        </w:rPr>
        <w:t>малого и среднего предпринимательства на электронных торговых площадках</w:t>
      </w: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0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110"/>
        <w:gridCol w:w="6353"/>
      </w:tblGrid>
      <w:tr w:rsidR="00303123" w:rsidRPr="00303123" w:rsidTr="00B30FF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заявителя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303123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0"/>
                <w:tab w:val="num" w:pos="900"/>
              </w:tabs>
              <w:ind w:left="0" w:right="352" w:firstLine="0"/>
            </w:pPr>
            <w:r w:rsidRPr="00303123">
              <w:t>Индивидуальный предприниматель</w:t>
            </w:r>
          </w:p>
          <w:p w:rsidR="00303123" w:rsidRPr="00303123" w:rsidRDefault="00303123" w:rsidP="00303123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0"/>
                <w:tab w:val="num" w:pos="900"/>
              </w:tabs>
              <w:ind w:left="0" w:right="352" w:firstLine="0"/>
              <w:rPr>
                <w:b/>
              </w:rPr>
            </w:pPr>
            <w:r w:rsidRPr="00303123">
              <w:t>Юридическое лицо</w:t>
            </w:r>
          </w:p>
          <w:p w:rsidR="00303123" w:rsidRPr="00303123" w:rsidRDefault="00303123" w:rsidP="0030312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0" w:right="352" w:firstLine="0"/>
              <w:jc w:val="center"/>
              <w:rPr>
                <w:b/>
              </w:rPr>
            </w:pPr>
            <w:r w:rsidRPr="00303123">
              <w:rPr>
                <w:b/>
              </w:rPr>
              <w:t>выбрать необходимую категорию</w:t>
            </w:r>
          </w:p>
        </w:tc>
      </w:tr>
      <w:tr w:rsidR="00303123" w:rsidRPr="00303123" w:rsidTr="00B30FF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  <w:t xml:space="preserve">ФИО заявителя </w:t>
            </w:r>
          </w:p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sz w:val="24"/>
                <w:szCs w:val="24"/>
                <w:lang w:eastAsia="ar-SA" w:bidi="hi-IN"/>
              </w:rPr>
              <w:t>(полностью)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pStyle w:val="NormalWeb"/>
              <w:shd w:val="clear" w:color="auto" w:fill="FFFFFF"/>
              <w:ind w:right="352"/>
            </w:pPr>
          </w:p>
        </w:tc>
      </w:tr>
      <w:tr w:rsidR="00303123" w:rsidRPr="00303123" w:rsidTr="00B30FF4">
        <w:trPr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  <w:t>Наименование организации/ИП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B30FF4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  <w:t>Адрес организации/ИП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30312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120" w:line="240" w:lineRule="auto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B30FF4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  <w:t>ИНН организации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30312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120" w:line="240" w:lineRule="auto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B30FF4">
        <w:trPr>
          <w:trHeight w:val="4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  <w:t>Контактный телефон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30312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120" w:line="240" w:lineRule="auto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B30FF4">
        <w:trPr>
          <w:trHeight w:val="3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 w:bidi="hi-IN"/>
              </w:rPr>
              <w:t>E</w:t>
            </w: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eastAsia="ar-SA" w:bidi="hi-IN"/>
              </w:rPr>
              <w:t>-</w:t>
            </w:r>
            <w:r w:rsidRPr="0030312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 w:bidi="hi-IN"/>
              </w:rPr>
              <w:t>mail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303123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120" w:line="240" w:lineRule="auto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B30FF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ind w:firstLine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2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Cs/>
                <w:sz w:val="24"/>
                <w:szCs w:val="24"/>
              </w:rPr>
              <w:t>□ Сопровождение по регистрации в ЕГРУЗ</w:t>
            </w:r>
          </w:p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□ Сопровождение по получению ЭЦП (при отсутствии у получателя услуги ЭЦП)</w:t>
            </w:r>
          </w:p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2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Cs/>
                <w:sz w:val="24"/>
                <w:szCs w:val="24"/>
              </w:rPr>
              <w:t>□ Открытие специального счета (при отсутствии у получателя услуги специального счета в банковской организации)</w:t>
            </w:r>
          </w:p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2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Cs/>
                <w:sz w:val="24"/>
                <w:szCs w:val="24"/>
              </w:rPr>
              <w:t>□ Подбор закупочной процедуры</w:t>
            </w:r>
          </w:p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2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Cs/>
                <w:sz w:val="24"/>
                <w:szCs w:val="24"/>
              </w:rPr>
              <w:t>□ Сопровождение в аукционах</w:t>
            </w:r>
          </w:p>
          <w:p w:rsidR="00303123" w:rsidRPr="00303123" w:rsidRDefault="00303123" w:rsidP="00B30FF4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2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Cs/>
                <w:sz w:val="24"/>
                <w:szCs w:val="24"/>
              </w:rPr>
              <w:t>□ Сопровождение заключения контракта, в случае победы по итогам участия в закупочных процедурах.</w:t>
            </w:r>
          </w:p>
          <w:p w:rsidR="00303123" w:rsidRPr="00303123" w:rsidRDefault="00303123" w:rsidP="00303123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0"/>
                <w:tab w:val="left" w:pos="317"/>
                <w:tab w:val="num" w:pos="900"/>
              </w:tabs>
              <w:spacing w:before="0" w:after="0" w:line="0" w:lineRule="atLeast"/>
              <w:ind w:left="0" w:right="352" w:firstLine="0"/>
              <w:jc w:val="center"/>
              <w:rPr>
                <w:b/>
              </w:rPr>
            </w:pPr>
            <w:r w:rsidRPr="00303123">
              <w:rPr>
                <w:b/>
              </w:rPr>
              <w:t>выбрать необходимую компанию</w:t>
            </w:r>
          </w:p>
        </w:tc>
      </w:tr>
      <w:tr w:rsidR="00303123" w:rsidRPr="00303123" w:rsidTr="00B30FF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электронной торговой площадки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pStyle w:val="NormalWeb"/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pBdr>
                <w:top w:val="single" w:sz="12" w:space="1" w:color="000000"/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pBdr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shd w:val="clear" w:color="auto" w:fill="FFFFFF"/>
              <w:ind w:right="352"/>
              <w:rPr>
                <w:b/>
              </w:rPr>
            </w:pPr>
          </w:p>
        </w:tc>
      </w:tr>
      <w:tr w:rsidR="00303123" w:rsidRPr="00303123" w:rsidTr="00B30FF4">
        <w:trPr>
          <w:trHeight w:val="1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сфер деятельности для отслеживания информации о </w:t>
            </w: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размещенных закупочных процедурах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pStyle w:val="NormalWeb"/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pBdr>
                <w:top w:val="single" w:sz="12" w:space="1" w:color="000000"/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pBdr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shd w:val="clear" w:color="auto" w:fill="FFFFFF"/>
              <w:ind w:right="352"/>
            </w:pPr>
          </w:p>
        </w:tc>
      </w:tr>
      <w:tr w:rsidR="00303123" w:rsidRPr="00303123" w:rsidTr="00B30FF4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отслеживания </w:t>
            </w:r>
            <w:proofErr w:type="gramStart"/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 о</w:t>
            </w:r>
            <w:proofErr w:type="gramEnd"/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размещенных закупочных процедурах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pStyle w:val="NormalWeb"/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pBdr>
                <w:top w:val="single" w:sz="12" w:space="1" w:color="000000"/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pBdr>
                <w:bottom w:val="single" w:sz="12" w:space="1" w:color="000000"/>
              </w:pBdr>
              <w:shd w:val="clear" w:color="auto" w:fill="FFFFFF"/>
              <w:ind w:left="720" w:right="352"/>
            </w:pPr>
          </w:p>
          <w:p w:rsidR="00303123" w:rsidRPr="00303123" w:rsidRDefault="00303123" w:rsidP="00B30FF4">
            <w:pPr>
              <w:pStyle w:val="NormalWeb"/>
              <w:shd w:val="clear" w:color="auto" w:fill="FFFFFF"/>
              <w:ind w:left="720" w:right="352"/>
            </w:pPr>
          </w:p>
        </w:tc>
      </w:tr>
      <w:tr w:rsidR="00303123" w:rsidRPr="00303123" w:rsidTr="00B30FF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3123" w:rsidRPr="00303123" w:rsidRDefault="00303123" w:rsidP="00B3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предел НМЦК для отслеживания размещенных закупочных процедурах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123" w:rsidRPr="00303123" w:rsidRDefault="00303123" w:rsidP="00B30FF4">
            <w:pPr>
              <w:pStyle w:val="NormalWeb"/>
              <w:shd w:val="clear" w:color="auto" w:fill="FFFFFF"/>
              <w:ind w:left="720" w:right="352"/>
            </w:pPr>
          </w:p>
        </w:tc>
      </w:tr>
    </w:tbl>
    <w:p w:rsidR="00303123" w:rsidRPr="00303123" w:rsidRDefault="00303123" w:rsidP="00303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03123" w:rsidRPr="00303123" w:rsidRDefault="00303123" w:rsidP="0030312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малого (среднего) предприятия </w:t>
      </w:r>
    </w:p>
    <w:p w:rsidR="00303123" w:rsidRPr="00303123" w:rsidRDefault="00303123" w:rsidP="0030312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(иное уполномоченное </w:t>
      </w:r>
      <w:proofErr w:type="gramStart"/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лицо)   </w:t>
      </w:r>
      <w:proofErr w:type="gramEnd"/>
      <w:r w:rsidRPr="003031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03123">
        <w:rPr>
          <w:rFonts w:ascii="Times New Roman" w:hAnsi="Times New Roman" w:cs="Times New Roman"/>
          <w:sz w:val="24"/>
          <w:szCs w:val="24"/>
        </w:rPr>
        <w:t xml:space="preserve">                _________________________    ________________________________</w:t>
      </w:r>
    </w:p>
    <w:p w:rsidR="00303123" w:rsidRPr="00303123" w:rsidRDefault="00303123" w:rsidP="00303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30312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03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(ФИО)</w:t>
      </w:r>
    </w:p>
    <w:p w:rsidR="00303123" w:rsidRPr="00303123" w:rsidRDefault="00303123" w:rsidP="00303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«__</w:t>
      </w:r>
      <w:proofErr w:type="gramStart"/>
      <w:r w:rsidRPr="003031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3123">
        <w:rPr>
          <w:rFonts w:ascii="Times New Roman" w:hAnsi="Times New Roman" w:cs="Times New Roman"/>
          <w:sz w:val="24"/>
          <w:szCs w:val="24"/>
        </w:rPr>
        <w:t xml:space="preserve">__________ 20___г. </w:t>
      </w:r>
    </w:p>
    <w:p w:rsidR="00303123" w:rsidRPr="00303123" w:rsidRDefault="00303123" w:rsidP="003031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303123" w:rsidRPr="00303123" w:rsidSect="008A7316">
          <w:pgSz w:w="11906" w:h="16838"/>
          <w:pgMar w:top="719" w:right="850" w:bottom="719" w:left="1276" w:header="708" w:footer="708" w:gutter="0"/>
          <w:cols w:space="708"/>
          <w:docGrid w:linePitch="360"/>
        </w:sectPr>
      </w:pP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2 </w:t>
      </w: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123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firstLine="709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03123">
        <w:rPr>
          <w:rFonts w:ascii="Times New Roman" w:hAnsi="Times New Roman" w:cs="Times New Roman"/>
          <w:b/>
          <w:sz w:val="24"/>
          <w:szCs w:val="24"/>
        </w:rPr>
        <w:t xml:space="preserve">учета заявок субъектов малого и среднего предпринимательства для получения услуги по содействию и размещению субъекта </w:t>
      </w:r>
      <w:r w:rsidRPr="00303123">
        <w:rPr>
          <w:rFonts w:ascii="Times New Roman" w:hAnsi="Times New Roman" w:cs="Times New Roman"/>
          <w:b/>
          <w:color w:val="00000A"/>
          <w:sz w:val="24"/>
          <w:szCs w:val="24"/>
        </w:rPr>
        <w:t>малого и среднего предпринимательства на электронных торговых площадках</w:t>
      </w: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598"/>
        <w:gridCol w:w="1163"/>
        <w:gridCol w:w="1418"/>
        <w:gridCol w:w="1276"/>
        <w:gridCol w:w="1701"/>
        <w:gridCol w:w="1984"/>
        <w:gridCol w:w="2552"/>
      </w:tblGrid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123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№ </w:t>
            </w:r>
            <w:r w:rsidRPr="00303123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п/п</w:t>
            </w: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123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Период оказания услуг </w:t>
            </w: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123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Наименование СМСП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123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ИНН</w:t>
            </w:r>
          </w:p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123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Организации/ ИП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123">
              <w:rPr>
                <w:rFonts w:ascii="Times New Roman" w:hAnsi="Times New Roman" w:cs="Times New Roman"/>
                <w:sz w:val="20"/>
                <w:szCs w:val="20"/>
              </w:rPr>
              <w:t>Номер закупочной процедуры</w:t>
            </w: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123">
              <w:rPr>
                <w:rFonts w:ascii="Times New Roman" w:hAnsi="Times New Roman" w:cs="Times New Roman"/>
                <w:sz w:val="20"/>
                <w:szCs w:val="20"/>
              </w:rPr>
              <w:t>Информация о специальном счете</w:t>
            </w: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3">
              <w:rPr>
                <w:rFonts w:ascii="Times New Roman" w:hAnsi="Times New Roman" w:cs="Times New Roman"/>
                <w:sz w:val="24"/>
                <w:szCs w:val="24"/>
              </w:rPr>
              <w:t>Информация об удостоверяющем центре, выдавший ЭЦП</w:t>
            </w: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23" w:rsidRPr="00303123" w:rsidTr="0030312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9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303123" w:rsidRPr="00303123" w:rsidRDefault="00303123" w:rsidP="00B30FF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200" w:lineRule="atLeast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200" w:lineRule="atLeast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200" w:lineRule="atLeast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03123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 w:rsidRPr="00303123">
        <w:rPr>
          <w:rFonts w:ascii="Times New Roman" w:hAnsi="Times New Roman" w:cs="Times New Roman"/>
          <w:spacing w:val="-22"/>
          <w:sz w:val="24"/>
          <w:szCs w:val="24"/>
          <w:highlight w:val="white"/>
        </w:rPr>
        <w:t>_____________                                ______________________                   ___________________________</w:t>
      </w:r>
    </w:p>
    <w:p w:rsidR="00010A49" w:rsidRPr="00303123" w:rsidRDefault="00303123" w:rsidP="0030312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123">
        <w:rPr>
          <w:rFonts w:ascii="Times New Roman" w:hAnsi="Times New Roman" w:cs="Times New Roman"/>
          <w:i/>
          <w:iCs/>
          <w:sz w:val="24"/>
          <w:szCs w:val="24"/>
        </w:rPr>
        <w:t xml:space="preserve">             (</w:t>
      </w:r>
      <w:proofErr w:type="gramStart"/>
      <w:r w:rsidRPr="00303123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Должность)   </w:t>
      </w:r>
      <w:proofErr w:type="gramEnd"/>
      <w:r w:rsidRPr="003031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(подпись)                                            (Ф.И.О.)</w:t>
      </w:r>
    </w:p>
    <w:sectPr w:rsidR="00010A49" w:rsidRPr="00303123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5A" w:rsidRDefault="002D615A" w:rsidP="00A64036">
      <w:pPr>
        <w:spacing w:after="0" w:line="240" w:lineRule="auto"/>
      </w:pPr>
      <w:r>
        <w:separator/>
      </w:r>
    </w:p>
  </w:endnote>
  <w:endnote w:type="continuationSeparator" w:id="0">
    <w:p w:rsidR="002D615A" w:rsidRDefault="002D615A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5A" w:rsidRDefault="002D615A" w:rsidP="00A64036">
      <w:pPr>
        <w:spacing w:after="0" w:line="240" w:lineRule="auto"/>
      </w:pPr>
      <w:r>
        <w:separator/>
      </w:r>
    </w:p>
  </w:footnote>
  <w:footnote w:type="continuationSeparator" w:id="0">
    <w:p w:rsidR="002D615A" w:rsidRDefault="002D615A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24"/>
  </w:num>
  <w:num w:numId="9">
    <w:abstractNumId w:val="26"/>
  </w:num>
  <w:num w:numId="10">
    <w:abstractNumId w:val="16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0"/>
  </w:num>
  <w:num w:numId="21">
    <w:abstractNumId w:val="23"/>
  </w:num>
  <w:num w:numId="22">
    <w:abstractNumId w:val="11"/>
  </w:num>
  <w:num w:numId="23">
    <w:abstractNumId w:val="9"/>
  </w:num>
  <w:num w:numId="24">
    <w:abstractNumId w:val="20"/>
  </w:num>
  <w:num w:numId="25">
    <w:abstractNumId w:val="18"/>
  </w:num>
  <w:num w:numId="26">
    <w:abstractNumId w:val="2"/>
  </w:num>
  <w:num w:numId="27">
    <w:abstractNumId w:val="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677B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D615A"/>
    <w:rsid w:val="002F7CA9"/>
    <w:rsid w:val="00303123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2AAF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81F50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41C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B4BE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E677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styleId="af5">
    <w:name w:val="Body Text Indent"/>
    <w:basedOn w:val="a"/>
    <w:link w:val="af6"/>
    <w:uiPriority w:val="99"/>
    <w:semiHidden/>
    <w:unhideWhenUsed/>
    <w:rsid w:val="001E67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677B"/>
  </w:style>
  <w:style w:type="character" w:customStyle="1" w:styleId="60">
    <w:name w:val="Заголовок 6 Знак"/>
    <w:basedOn w:val="a0"/>
    <w:link w:val="6"/>
    <w:rsid w:val="001E677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31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a"/>
    <w:rsid w:val="003031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rsid w:val="00303123"/>
    <w:rPr>
      <w:color w:val="0000FF"/>
      <w:u w:val="single"/>
    </w:rPr>
  </w:style>
  <w:style w:type="paragraph" w:customStyle="1" w:styleId="NormalWeb">
    <w:name w:val="Normal (Web)"/>
    <w:basedOn w:val="a"/>
    <w:rsid w:val="00303123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E21A-98F2-964F-B912-CC2BBDA9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9</cp:revision>
  <cp:lastPrinted>2017-07-03T11:26:00Z</cp:lastPrinted>
  <dcterms:created xsi:type="dcterms:W3CDTF">2019-11-25T10:25:00Z</dcterms:created>
  <dcterms:modified xsi:type="dcterms:W3CDTF">2020-01-21T12:16:00Z</dcterms:modified>
</cp:coreProperties>
</file>